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152 vom 28. November 2003</w:t>
      </w:r>
    </w:p>
    <w:p>
      <w:r>
        <w:t>GR Gerichte, 2003-11-28, IT</w:t>
      </w:r>
    </w:p>
    <w:p>
      <w:r>
        <w:rPr>
          <w:b/>
        </w:rPr>
        <w:t xml:space="preserve">Quelle: </w:t>
      </w:r>
      <w:r>
        <w:t>https://mcp.opencaselaw.ch/entscheid/gr_gerichte_PZ 2003 152</w:t>
      </w:r>
    </w:p>
    <w:p>
      <w:r>
        <w:t>FR: GR_GERICHTE PZ 2003 152 du 28 novembre 2003</w:t>
      </w:r>
    </w:p>
    <w:p>
      <w:r>
        <w:t>IT: GR_GERICHTE PZ 2003 152 del 28 novembre 2003</w:t>
      </w:r>
    </w:p>
    <w:p>
      <w:pPr>
        <w:pStyle w:val="Heading2"/>
      </w:pPr>
      <w:r>
        <w:t>Regeste</w:t>
      </w:r>
    </w:p>
    <w:p>
      <w:r>
        <w:t>protezione dell'unione coniugale | Familienrecht</w:t>
      </w:r>
    </w:p>
    <w:p>
      <w:pPr>
        <w:pStyle w:val="Heading2"/>
      </w:pPr>
      <w:r>
        <w:t>Erwägungen</w:t>
      </w:r>
    </w:p>
    <w:p>
      <w:r>
        <w:rPr>
          <w:b/>
        </w:rPr>
        <w:t>E. 2</w:t>
      </w:r>
    </w:p>
    <w:p>
      <w:r>
        <w:t>La casa dei coniugi, che costituisce la dimora coniugale in C., è asse- gnata alla qui istante.</w:t>
      </w:r>
    </w:p>
    <w:p>
      <w:r>
        <w:rPr>
          <w:b/>
        </w:rPr>
        <w:t>E. 3</w:t>
      </w:r>
    </w:p>
    <w:p>
      <w:r>
        <w:t>Il figlio D., nato il 16 giugno 1998, è affidato alla madre per l’educazione e la cura.</w:t>
      </w:r>
    </w:p>
    <w:p>
      <w:r>
        <w:rPr>
          <w:b/>
        </w:rPr>
        <w:t>E. 4</w:t>
      </w:r>
    </w:p>
    <w:p>
      <w:r>
        <w:t>Il padre avrà facoltà di esercitare il diritto di visita, che potrà essere con- cordato direttamente tra le parti, fermo restando che in caso di dis-ac- cordo egli potrà vedere il figlio un fine settimana ogni due settimane.</w:t>
      </w:r>
    </w:p>
    <w:p>
      <w:r>
        <w:rPr>
          <w:b/>
        </w:rPr>
        <w:t>E. 5</w:t>
      </w:r>
    </w:p>
    <w:p>
      <w:r>
        <w:t>Il marito è obbligato a versare alla moglie, anticipatamente entro il quinto giorno del mese (a far tempo dal mese di agosto 2003) quale contributo alimentare per il figlio D., l’importo mensile di fr. 700.--. All’importo va aggiunto l’assegno familiare.</w:t>
      </w:r>
    </w:p>
    <w:p>
      <w:r>
        <w:rPr>
          <w:b/>
        </w:rPr>
        <w:t>E. 6</w:t>
      </w:r>
    </w:p>
    <w:p>
      <w:r>
        <w:t>Il marito dovrà versare alla moglie, quale contributo alimentare, l’importo di fr. 1'500.-- così ripartito: - fr. 1'000.-- (ca.) direttamente alla banca che ha erogato il mutuo per la casa in C. così da estinguere gli interessi passivi; - fr. 500.-- alla moglie. L’importo dovrà essere versato antici- patamente entro il quinto giorno del mese. Il primo versamento dovrà avvenire per il corrente mese di agosto 2003.</w:t>
      </w:r>
    </w:p>
    <w:p>
      <w:r>
        <w:rPr>
          <w:b/>
        </w:rPr>
        <w:t>E. 7</w:t>
      </w:r>
    </w:p>
    <w:p>
      <w:r>
        <w:t>delle Direttive). È perciò a torto che il giudice di prima istanza ha riconosciuto al ricorrente unicamente il premio dell’assicurazione responsabilità civile di fr. 60.75.</w:t>
      </w:r>
    </w:p>
    <w:p>
      <w:r>
        <w:rPr>
          <w:b/>
        </w:rPr>
        <w:t>E. 8</w:t>
      </w:r>
    </w:p>
    <w:p>
      <w:r>
        <w:t>Tuttavia l’importo complessivo preteso di fr. 992.70 non può essere considerato. Manifestamente esso concerne tutte le spese fisse e di funzionamento della vettura nonchè il pagamento rateale intero per la stessa. L’automobile è però utilizzata an- che per altri scopi e non solamente per raggiungere il posto di lavoro. Va quindi tenuto conto unicamente di quella parte delle spese e della rata leasing, che con- cerne l’impiego dell’autovettura per recarsi da F. a C. e viceversa. Ora, a tal propo- sito gli atti non contengono il minimo cenno. Il giudice precedente dovrà quindi ac- certare in che misura il ricorrente usa la vettura per raggiungere il posto di lavoro ed in che misura per altri scopi e stabilire la quota delle spese e del pagamento rateale, da considerare nel fabbisogno. d) Il Presidente del Tribunale di distretto ha fissato l’onere fiscale del ma- rito in fr. 150.-- mensili, adducendo a motivo che gli alimenti versati al figlio ed alla moglie potevano essere dedotti dal reddito con conseguente riduzione dello stesso. Il ricorrente pretende a torto che siano considerati fr. 200.--. Dalle decisioni di tas- sazione delle imposte cantonali e comunali risulta che per i coniugi X. i carichi tribu- tari degli anni 2001 e 2002 sono stati di fr. 2'252.-- e di fr. 1'983.--, ciò che corri- sponde a fr. 176.-- mensili (atti 3.9, 3.10). Tenuto conto del fatto che in caso di separazione legale o di fatto ogni coniuge è tassato individualmente (art. 69 cpv. 2 LIG), sicchè il reddito della moglie viene a mancare e che da quello del marito pos- sono essere dedotti gli alimenti, con ulteriore riduzione dello stesso, l’onere fiscale di fr. 150.--, stabilito dal giudice precedente, si situa al limite superiore dell’accetta- bile. e) Da ultimo il ricorrente contesta l’inserimento nel proprio fabbisogno dell’importo di fr. 1000.-- d’interessi ipotecari e ammortamento della casa coniugale. A suo dire gl’interessi ipotecari e l’ammortamento andrebbero considerati nel fabbi- sogno della moglie, dato che la casa le è stata assegnata in uso. Quanto a questa posta il giudice di primo grado ha considerato fr. 1'000.-- nel fabbisogno del marito e fr. 160.-- nel fabbisogno del figlio. Ciò non è ammissibile. Se un terzo degli interessi ipotecari è messo a carico del figlio, al marito non può essere addossato l’importo complessivo degli stessi. L’importo riconosciuto al figlio, quale supplemento all’importo base mensile di fr. 250.-- (cfr. la cifra I 4 delle Direttive per il calcolo del minimo d’esistenza), deve perciò essere dedotto da quello compu- tato nel fabbisogno del padre. Per quanto riguarda la pretesa del ricorrente di met- tere l’importo di fr. 1'000.-- a carico della moglie è da rilevare che in tal caso il fab- bisogno del marito diminuisce e quindi la somma a sua disposizione aumenta. Di</w:t>
      </w:r>
    </w:p>
    <w:p>
      <w:r>
        <w:rPr>
          <w:b/>
        </w:rPr>
        <w:t>E. 9</w:t>
      </w:r>
    </w:p>
    <w:p>
      <w:r>
        <w:t>conseguenza al posto di versare alla banca l’importo di fr. 1'000.-- egli dovrà corri- spondere alla moglie un contributo alimentare superiore a quello stabilito dal giudice di prima istanza. Da questo onere il ricorrente non può essere liberato, sicchè la sua pretesa non merita accoglienza. 5. Discende da queste considerazioni che il Presidente del Tribunale di- strettuale non ha correttamente fissato tanto il reddito quanto il fabbisogno del ma- rito. Di conseguenza il ricorso dev’essere parzialmente accolto e le cifre 1.5., 1.6. e 2 dell’impugnata sentenza vanno annullate. Il primo giudice dovrà procedere a un nuovo calcolo e a una nuova pronuncia nel senso dei considerandi. L’esito della procedura di ricorso comporta la proporzionale ripartizione dei costi di questo procedimento (art. 122 cpv. 1 CPC. Il ricorrente ha diritto ad una ridotta indennità a titolo di ripetibili (art. 122 cpv. 2 CPC).</w:t>
      </w:r>
    </w:p>
    <w:p>
      <w:r>
        <w:rPr>
          <w:b/>
        </w:rPr>
        <w:t>E. 10</w:t>
      </w:r>
    </w:p>
    <w:p>
      <w:r>
        <w:t>La Presidenza del Tribunale cantonale ordina : 1. Il ricorso è parzialmente accolto, le cifre 1.5., 1.6. e 2 dell’impugnata sentenza sono annullate e la causa è rinviata al Presidente del Tribunale distrettuale Moesa per nuova pronuncia nel senso dei considerandi. 2. I costi della procedura di ricorso, consistenti nella tassa di giustizia di fr. 850.-- ed in quella di scritturazione di fr. 150.--, quindi dell’importo totale di fr. 1'000.- -, vanno in ragione di un terzo a carico del ricorrente ed in ragione di due terzi a carico dell’opponente al ricorso, che paga al ricorrente una ridotta indennità a titolo di ripetibili di fr. 400.--. 3. Comunicazione a: __________ Per la Presidenza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